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80EB1" w14:textId="52F111A7" w:rsidR="00EB341C" w:rsidRPr="00EB341C" w:rsidRDefault="00EB341C" w:rsidP="008C5496">
      <w:pPr>
        <w:rPr>
          <w:b/>
          <w:bCs/>
        </w:rPr>
      </w:pPr>
      <w:r w:rsidRPr="00EB341C">
        <w:rPr>
          <w:b/>
          <w:bCs/>
        </w:rPr>
        <w:t>TV Gelnhausen: Eigener Weg, klare Handschrift</w:t>
      </w:r>
    </w:p>
    <w:p w14:paraId="40D9208F" w14:textId="25E0EF6F" w:rsidR="00EB341C" w:rsidRDefault="008C5496" w:rsidP="008C5496">
      <w:r w:rsidRPr="008C5496">
        <w:t xml:space="preserve">Der TV Gelnhausen gehört zu den traditionsreichen Handballstandorten in Hessen. Seit 1966 wird in der Barbarossastadt leistungsorientierter Handball gespielt. Seine erfolgreichsten Zeiten erlebte der TVG mit insgesamt zehn Jahren in der 2. Bundesliga zwischen 1988 und 1993 sowie 2002 und 2007. Eng mit dieser Geschichte verbunden ist Roodney „Rudi“ Lechleidner. Die größte Klublegende führte den TVG in den 1980er-Jahren innerhalb weniger Jahre von der B-Klasse bis in die 2. Bundesliga und gilt als erster schwarzer deutscher Handball-Nationalspieler. Seit 2023 trägt die Gelnhäuser Großsporthalle seinen Namen. </w:t>
      </w:r>
      <w:r w:rsidR="00EB341C" w:rsidRPr="00EB341C">
        <w:t>Mit Uli Schaus, der im Alter von 55 Jahren noch für den TVG in der 2. Bundesliga auflief und als ältester jemals in der Handball-Bundesliga eingesetzter Spieler gilt, prägte ein weiterer deutscher Nationalspieler die Geschichte des Vereins.</w:t>
      </w:r>
    </w:p>
    <w:p w14:paraId="0156C5A2" w14:textId="47F19DF3" w:rsidR="008C5496" w:rsidRPr="008C5496" w:rsidRDefault="008C5496" w:rsidP="008C5496">
      <w:r w:rsidRPr="008C5496">
        <w:t>Heute ist die Rudi-Lechleidner-Halle im Handball besser als „Hölle Süd“ bekannt. Im Schnitt verfolgen rund 1.000 Zuschauer die Heimspiele und sorgen für eine intensive Atmosphäre. Die lautstarken, frenetischen Fans haben der Halle weit über die Region hinaus den Ruf eingebracht, ein besonders heißes Pflaster zu sein.</w:t>
      </w:r>
      <w:r w:rsidR="00EB341C">
        <w:t xml:space="preserve"> Gelnhausen ist Handballstandort und wenn der TVG spielt, hält die 24.000 große </w:t>
      </w:r>
      <w:r w:rsidR="00EB341C" w:rsidRPr="00EB341C">
        <w:t>Kreisstadt des Main-Kinzig-Kreises</w:t>
      </w:r>
      <w:r w:rsidR="00EB341C">
        <w:t xml:space="preserve">, die </w:t>
      </w:r>
      <w:r w:rsidR="00EB341C" w:rsidRPr="00EB341C">
        <w:t>rund 40 Kilometer östlich von Frankfurt am Main</w:t>
      </w:r>
      <w:r w:rsidR="00EB341C">
        <w:t xml:space="preserve"> liegt</w:t>
      </w:r>
      <w:r w:rsidR="00EB341C" w:rsidRPr="00EB341C">
        <w:t xml:space="preserve">, </w:t>
      </w:r>
      <w:r w:rsidR="00EB341C">
        <w:t>den Atem an.</w:t>
      </w:r>
    </w:p>
    <w:p w14:paraId="78E8876E" w14:textId="73E36D10" w:rsidR="008C5496" w:rsidRPr="008C5496" w:rsidRDefault="008C5496" w:rsidP="008C5496">
      <w:r w:rsidRPr="008C5496">
        <w:t>Sportlich geht der TVG seit Jahren einen bewusst eigenen Weg. Rund 75 Prozent des Drittliga-Kaders stammen aus dem eigenen Nachwuchs, einige Spieler stehen bereits seit der F-Jugend gemeinsam auf dem Feld. Entsprechend eingespielt ist die Mannschaft. Sie ist weiterhin jung</w:t>
      </w:r>
      <w:r w:rsidR="008731D1">
        <w:t xml:space="preserve"> (trotz des 37-jährigen Bruno Minerva beträgt der Altersdurchschnitt 24 Jahre)</w:t>
      </w:r>
      <w:r w:rsidRPr="008C5496">
        <w:t>, verfügt inzwischen aber über beachtliche Erfahrung, weil viele Akteure früh Verantwortung und Einsatzzeiten im Seniorenbereich erhielten. In den vergangenen beiden Spielzeiten qualifizierte sich der TVG jeweils für die Aufstiegsrunde zur 2. Bundesliga.</w:t>
      </w:r>
    </w:p>
    <w:p w14:paraId="0BA06DEB" w14:textId="77777777" w:rsidR="008C5496" w:rsidRPr="00EB341C" w:rsidRDefault="008C5496" w:rsidP="008C5496">
      <w:r w:rsidRPr="00EB341C">
        <w:t>Personell blieb der Kader im Sommer weitgehend zusammen. Kreisläufer Leon David und Torhüter Daniel Drozdz verließen den TVG nach der Saison 2025/26, zudem endete das bis Saisonende vereinbarte Zweitspielrecht von Dmytro Redkyn. Neu hinzugekommen ist Jan-Steffen „Bruno“ Minerva. Der langjährige Erst- und Zweitliga-Torhüter wechselte vom TV Großwallstadt nach Gelnhausen und bringt zusätzliche Erfahrung in die junge Mannschaft.</w:t>
      </w:r>
    </w:p>
    <w:p w14:paraId="24A57F0E" w14:textId="77777777" w:rsidR="008C5496" w:rsidRPr="008C5496" w:rsidRDefault="008C5496" w:rsidP="008C5496">
      <w:r w:rsidRPr="008C5496">
        <w:t>Zur Saison 2026/27 wird die Mannschaft von Patrick Beer und Tim Beckmann als gleichberechtigtem Trainerduo geführt. Sie treten die Nachfolge von Matthias Geiger an, dessen erfolgreiche neunjährige Zeit als Cheftrainer nach der vergangenen Saison endete. Kapitän und prägender Rückraumspieler ist Jonathan Malolepszy. Dennoch definiert sich der TVG weniger über einzelne Stars als über sein Kollektiv, seine Eingespieltheit sowie Tempo, Mut und gegenseitiges Vertrauen.</w:t>
      </w:r>
    </w:p>
    <w:p w14:paraId="7C07F5C7" w14:textId="77777777" w:rsidR="008C5496" w:rsidRPr="008C5496" w:rsidRDefault="008C5496" w:rsidP="008C5496">
      <w:r w:rsidRPr="008C5496">
        <w:t>Eine besondere Rolle spielt Sergej Budanow. Der frühere Weltklasse-Handballer bestritt mehr als 100 Länderspiele für die Ukraine und arbeitete später als Trainer der ukrainischen Junioren-Nationalmannschaft. Heute ist der 67-Jährige sportlicher Leiter und Trainerentwickler des TVG. Gemeinsam mit Manager Philip Deinet prägt er die vereinsweite Ausbildungsphilosophie des kooperativen Lernens, die vom Nachwuchs bis zur ersten Mannschaft ineinandergreift. Nicht nur Spieler, sondern auch die Trainer werden gezielt weiterentwickelt. So entsteht eine ebenso einheitliche wie einzigartige Handschrift, die den Handballstandort Gelnhausen besonders macht.</w:t>
      </w:r>
    </w:p>
    <w:p w14:paraId="586CCE40" w14:textId="0F47A84F" w:rsidR="008C5496" w:rsidRPr="008C5496" w:rsidRDefault="008C5496" w:rsidP="008C5496">
      <w:r w:rsidRPr="008C5496">
        <w:t xml:space="preserve">Dabei misst der TV Gelnhausen seinen Erfolg nicht an Tabellenplätzen. Aufstiegsrunde oder 2. Bundesliga sind kein Selbstzweck. Der TVG versteht sich als „Doppelpasspartner“ der Region: </w:t>
      </w:r>
      <w:r w:rsidRPr="008C5496">
        <w:lastRenderedPageBreak/>
        <w:t xml:space="preserve">als Netzwerkplattform für Unternehmen, als Bewegungs- und Ausbildungsort für Kinder und Jugendliche sowie als engagierter Verein in Kultur, </w:t>
      </w:r>
      <w:r w:rsidR="00A66489">
        <w:t xml:space="preserve">Bildung, </w:t>
      </w:r>
      <w:r w:rsidRPr="008C5496">
        <w:t>Ehrenamt und Gesundheit. Ziel ist es, für die Menschen vor Ort möglichst viel Mehrwert zu schaffen. Je besser das gelingt, desto eher folgt die sportliche Entwicklung, die irgendwann wieder an die Tür zur 2. Bundesliga führen wird. Ohne den großen sportlichen Druck und finanziell auf kerngesunden Füßen stehend, kann der TV Gelnhausen so strategisch planen.</w:t>
      </w:r>
    </w:p>
    <w:p w14:paraId="613149EF" w14:textId="77777777" w:rsidR="008C5496" w:rsidRPr="008C5496" w:rsidRDefault="008C5496" w:rsidP="008C5496">
      <w:r w:rsidRPr="008C5496">
        <w:t>Gerade für junge Talente ist Gelnhausen deshalb ein interessanter Standort. Wer sich hier durchsetzt, bekommt früh Verantwortung, arbeitet in einem gewachsenen System und kann sich Schritt für Schritt an höheres Leistungsniveau herantasten. Der TVG verbindet damit seine lange Tradition mit einem klaren Blick auf die Zukunft und setzt konsequent auf den eigenen Nachwuchs und ein außergewöhnlich eng verbundenes Kollektiv.</w:t>
      </w:r>
    </w:p>
    <w:p w14:paraId="15825E33" w14:textId="06BF8EE0" w:rsidR="003A6002" w:rsidRPr="008C5496" w:rsidRDefault="003A6002" w:rsidP="008C5496"/>
    <w:sectPr w:rsidR="003A6002" w:rsidRPr="008C549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8B4EDB"/>
    <w:multiLevelType w:val="hybridMultilevel"/>
    <w:tmpl w:val="000E5F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41284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88E"/>
    <w:rsid w:val="00335020"/>
    <w:rsid w:val="003A6002"/>
    <w:rsid w:val="003B11C3"/>
    <w:rsid w:val="00406661"/>
    <w:rsid w:val="007B3A9A"/>
    <w:rsid w:val="008731D1"/>
    <w:rsid w:val="008C5496"/>
    <w:rsid w:val="009F7216"/>
    <w:rsid w:val="00A66489"/>
    <w:rsid w:val="00C2588E"/>
    <w:rsid w:val="00D37332"/>
    <w:rsid w:val="00EB341C"/>
    <w:rsid w:val="00F450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1CAA7"/>
  <w15:chartTrackingRefBased/>
  <w15:docId w15:val="{3B29FEC7-26BE-48A4-9FEA-96267A149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258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258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2588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2588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2588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2588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2588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2588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2588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2588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2588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2588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2588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2588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2588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2588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2588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2588E"/>
    <w:rPr>
      <w:rFonts w:eastAsiaTheme="majorEastAsia" w:cstheme="majorBidi"/>
      <w:color w:val="272727" w:themeColor="text1" w:themeTint="D8"/>
    </w:rPr>
  </w:style>
  <w:style w:type="paragraph" w:styleId="Titel">
    <w:name w:val="Title"/>
    <w:basedOn w:val="Standard"/>
    <w:next w:val="Standard"/>
    <w:link w:val="TitelZchn"/>
    <w:uiPriority w:val="10"/>
    <w:qFormat/>
    <w:rsid w:val="00C258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2588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2588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2588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2588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2588E"/>
    <w:rPr>
      <w:i/>
      <w:iCs/>
      <w:color w:val="404040" w:themeColor="text1" w:themeTint="BF"/>
    </w:rPr>
  </w:style>
  <w:style w:type="paragraph" w:styleId="Listenabsatz">
    <w:name w:val="List Paragraph"/>
    <w:basedOn w:val="Standard"/>
    <w:uiPriority w:val="34"/>
    <w:qFormat/>
    <w:rsid w:val="00C2588E"/>
    <w:pPr>
      <w:ind w:left="720"/>
      <w:contextualSpacing/>
    </w:pPr>
  </w:style>
  <w:style w:type="character" w:styleId="IntensiveHervorhebung">
    <w:name w:val="Intense Emphasis"/>
    <w:basedOn w:val="Absatz-Standardschriftart"/>
    <w:uiPriority w:val="21"/>
    <w:qFormat/>
    <w:rsid w:val="00C2588E"/>
    <w:rPr>
      <w:i/>
      <w:iCs/>
      <w:color w:val="0F4761" w:themeColor="accent1" w:themeShade="BF"/>
    </w:rPr>
  </w:style>
  <w:style w:type="paragraph" w:styleId="IntensivesZitat">
    <w:name w:val="Intense Quote"/>
    <w:basedOn w:val="Standard"/>
    <w:next w:val="Standard"/>
    <w:link w:val="IntensivesZitatZchn"/>
    <w:uiPriority w:val="30"/>
    <w:qFormat/>
    <w:rsid w:val="00C258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2588E"/>
    <w:rPr>
      <w:i/>
      <w:iCs/>
      <w:color w:val="0F4761" w:themeColor="accent1" w:themeShade="BF"/>
    </w:rPr>
  </w:style>
  <w:style w:type="character" w:styleId="IntensiverVerweis">
    <w:name w:val="Intense Reference"/>
    <w:basedOn w:val="Absatz-Standardschriftart"/>
    <w:uiPriority w:val="32"/>
    <w:qFormat/>
    <w:rsid w:val="00C2588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742</Words>
  <Characters>3941</Characters>
  <Application>Microsoft Office Word</Application>
  <DocSecurity>0</DocSecurity>
  <Lines>98</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Tamberg</dc:creator>
  <cp:keywords/>
  <dc:description/>
  <cp:lastModifiedBy>Thomas Tamberg</cp:lastModifiedBy>
  <cp:revision>4</cp:revision>
  <dcterms:created xsi:type="dcterms:W3CDTF">2026-08-16T13:33:00Z</dcterms:created>
  <dcterms:modified xsi:type="dcterms:W3CDTF">2026-08-18T09:57:00Z</dcterms:modified>
</cp:coreProperties>
</file>